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17" w:rsidRDefault="00307B8B">
      <w:pPr>
        <w:pStyle w:val="Ttulo1"/>
        <w:spacing w:before="240" w:after="240" w:line="240" w:lineRule="auto"/>
        <w:jc w:val="center"/>
        <w:rPr>
          <w:b w:val="0"/>
          <w:smallCaps/>
          <w:color w:val="5A5A5A"/>
          <w:sz w:val="28"/>
          <w:szCs w:val="28"/>
        </w:rPr>
      </w:pPr>
      <w:bookmarkStart w:id="0" w:name="_GoBack"/>
      <w:bookmarkEnd w:id="0"/>
      <w:r>
        <w:rPr>
          <w:b w:val="0"/>
          <w:smallCaps/>
          <w:color w:val="5A5A5A"/>
          <w:sz w:val="28"/>
          <w:szCs w:val="28"/>
        </w:rPr>
        <w:t>ANEXO B: DETALLE DEL EQUIPO A CALIFICAR – REQUERIMIENTO DE USUARIO</w:t>
      </w:r>
    </w:p>
    <w:p w:rsidR="00C16817" w:rsidRDefault="00307B8B">
      <w:pPr>
        <w:widowControl w:val="0"/>
        <w:pBdr>
          <w:bottom w:val="single" w:sz="4" w:space="4" w:color="4F81BD"/>
        </w:pBdr>
        <w:tabs>
          <w:tab w:val="left" w:pos="1155"/>
          <w:tab w:val="center" w:pos="4257"/>
        </w:tabs>
        <w:spacing w:after="0" w:line="240" w:lineRule="auto"/>
        <w:ind w:right="-10"/>
        <w:jc w:val="center"/>
        <w:rPr>
          <w:b/>
          <w:sz w:val="23"/>
          <w:szCs w:val="23"/>
        </w:rPr>
      </w:pPr>
      <w:r>
        <w:rPr>
          <w:smallCaps/>
          <w:color w:val="5A5A5A"/>
          <w:sz w:val="28"/>
          <w:szCs w:val="28"/>
        </w:rPr>
        <w:t>CÁMARA DE ESTABILIDAD – LIF SE-1750</w:t>
      </w:r>
    </w:p>
    <w:p w:rsidR="00C16817" w:rsidRDefault="00307B8B">
      <w:pPr>
        <w:widowControl w:val="0"/>
        <w:numPr>
          <w:ilvl w:val="0"/>
          <w:numId w:val="3"/>
        </w:numPr>
        <w:spacing w:after="240" w:line="240" w:lineRule="auto"/>
        <w:ind w:left="709" w:right="-4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DESCRIPCIÓN DEL EQUIPO</w:t>
      </w:r>
    </w:p>
    <w:p w:rsidR="00C16817" w:rsidRDefault="00307B8B">
      <w:pPr>
        <w:numPr>
          <w:ilvl w:val="0"/>
          <w:numId w:val="2"/>
        </w:numPr>
        <w:spacing w:after="0" w:line="360" w:lineRule="auto"/>
        <w:ind w:right="524"/>
        <w:jc w:val="both"/>
      </w:pPr>
      <w:r>
        <w:rPr>
          <w:i/>
        </w:rPr>
        <w:t>Equipo:</w:t>
      </w:r>
      <w:r>
        <w:t xml:space="preserve"> Cámara de estabilidad con temperatura y humedad controlada</w:t>
      </w:r>
    </w:p>
    <w:p w:rsidR="00C16817" w:rsidRDefault="00307B8B">
      <w:pPr>
        <w:numPr>
          <w:ilvl w:val="0"/>
          <w:numId w:val="2"/>
        </w:numPr>
        <w:spacing w:after="0" w:line="360" w:lineRule="auto"/>
        <w:ind w:right="524"/>
        <w:jc w:val="both"/>
      </w:pPr>
      <w:r>
        <w:rPr>
          <w:i/>
        </w:rPr>
        <w:t>Marca y modelo:</w:t>
      </w:r>
      <w:r>
        <w:t xml:space="preserve"> MMM Group – Climacell CLC222-TV</w:t>
      </w:r>
    </w:p>
    <w:p w:rsidR="00C16817" w:rsidRDefault="00307B8B">
      <w:pPr>
        <w:numPr>
          <w:ilvl w:val="0"/>
          <w:numId w:val="2"/>
        </w:numPr>
        <w:spacing w:after="0" w:line="360" w:lineRule="auto"/>
        <w:ind w:right="524"/>
        <w:jc w:val="both"/>
      </w:pPr>
      <w:r>
        <w:rPr>
          <w:i/>
        </w:rPr>
        <w:t>Número de serie:</w:t>
      </w:r>
      <w:r>
        <w:t xml:space="preserve"> E140814</w:t>
      </w:r>
    </w:p>
    <w:p w:rsidR="00C16817" w:rsidRDefault="00307B8B">
      <w:pPr>
        <w:numPr>
          <w:ilvl w:val="0"/>
          <w:numId w:val="2"/>
        </w:numPr>
        <w:spacing w:after="0" w:line="360" w:lineRule="auto"/>
        <w:ind w:right="524"/>
        <w:jc w:val="both"/>
      </w:pPr>
      <w:r>
        <w:rPr>
          <w:i/>
        </w:rPr>
        <w:t>Código interno LIF:</w:t>
      </w:r>
      <w:r>
        <w:t xml:space="preserve"> LIF SE-1750</w:t>
      </w:r>
    </w:p>
    <w:p w:rsidR="00C16817" w:rsidRDefault="00C16817">
      <w:pPr>
        <w:spacing w:after="0"/>
        <w:ind w:left="142" w:right="524"/>
        <w:jc w:val="both"/>
        <w:rPr>
          <w:rFonts w:ascii="Arial" w:eastAsia="Arial" w:hAnsi="Arial" w:cs="Arial"/>
        </w:rPr>
      </w:pPr>
    </w:p>
    <w:p w:rsidR="00C16817" w:rsidRDefault="00307B8B">
      <w:pPr>
        <w:widowControl w:val="0"/>
        <w:numPr>
          <w:ilvl w:val="0"/>
          <w:numId w:val="3"/>
        </w:numPr>
        <w:spacing w:after="0" w:line="240" w:lineRule="auto"/>
        <w:ind w:right="-4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ENSAYOS REQUERIDOS</w:t>
      </w:r>
    </w:p>
    <w:p w:rsidR="00C16817" w:rsidRDefault="00C16817">
      <w:pPr>
        <w:widowControl w:val="0"/>
        <w:spacing w:after="0" w:line="240" w:lineRule="auto"/>
        <w:ind w:left="720" w:right="-45"/>
        <w:jc w:val="both"/>
        <w:rPr>
          <w:b/>
          <w:sz w:val="23"/>
          <w:szCs w:val="23"/>
        </w:rPr>
      </w:pPr>
    </w:p>
    <w:p w:rsidR="00C16817" w:rsidRDefault="00307B8B">
      <w:pPr>
        <w:widowControl w:val="0"/>
        <w:numPr>
          <w:ilvl w:val="1"/>
          <w:numId w:val="3"/>
        </w:numPr>
        <w:tabs>
          <w:tab w:val="left" w:pos="993"/>
        </w:tabs>
        <w:spacing w:after="240" w:line="240" w:lineRule="auto"/>
        <w:ind w:left="993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Calificación de Instalación (IQ)</w:t>
      </w:r>
    </w:p>
    <w:p w:rsidR="00C16817" w:rsidRDefault="00307B8B">
      <w:pPr>
        <w:spacing w:after="240"/>
        <w:jc w:val="both"/>
      </w:pPr>
      <w:r>
        <w:t xml:space="preserve">La </w:t>
      </w:r>
      <w:r>
        <w:rPr>
          <w:i/>
        </w:rPr>
        <w:t>Calificación de Instalación</w:t>
      </w:r>
      <w:r>
        <w:t xml:space="preserve"> deberá contemplar la verificación de: 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Documentación del equipo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Lugar de instalación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Servicios y drenaje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Identificación del equipo y especificaciones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 xml:space="preserve">Dispositivos de seguridad y componentes críticos (puertas de la cabina, conexión de sensores, ventilador, tuberías, regulación fija, termostato fijo, sistema de enfriamiento, automatismos de medición, control y </w:t>
      </w:r>
      <w:r>
        <w:t>regulación)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Elementos de calentamiento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Calibración de instrumentos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Seguridad eléctrica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>Ajuste de dispositivos</w:t>
      </w:r>
    </w:p>
    <w:p w:rsidR="00C16817" w:rsidRDefault="00307B8B">
      <w:pPr>
        <w:numPr>
          <w:ilvl w:val="0"/>
          <w:numId w:val="1"/>
        </w:numPr>
        <w:spacing w:after="0" w:line="360" w:lineRule="auto"/>
        <w:jc w:val="both"/>
      </w:pPr>
      <w:r>
        <w:t xml:space="preserve">Funcionamiento del software </w:t>
      </w:r>
    </w:p>
    <w:p w:rsidR="00C16817" w:rsidRDefault="00C16817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3"/>
          <w:szCs w:val="23"/>
        </w:rPr>
      </w:pPr>
    </w:p>
    <w:p w:rsidR="00C16817" w:rsidRDefault="00307B8B">
      <w:pPr>
        <w:widowControl w:val="0"/>
        <w:numPr>
          <w:ilvl w:val="1"/>
          <w:numId w:val="3"/>
        </w:numPr>
        <w:tabs>
          <w:tab w:val="left" w:pos="993"/>
        </w:tabs>
        <w:spacing w:after="240" w:line="240" w:lineRule="auto"/>
        <w:ind w:left="993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Calificación de Operación (OQ)</w:t>
      </w:r>
    </w:p>
    <w:p w:rsidR="00C16817" w:rsidRDefault="00307B8B">
      <w:pPr>
        <w:spacing w:before="240" w:after="60"/>
        <w:ind w:left="142" w:right="240"/>
        <w:jc w:val="both"/>
      </w:pPr>
      <w:r>
        <w:t xml:space="preserve">La </w:t>
      </w:r>
      <w:r>
        <w:rPr>
          <w:i/>
        </w:rPr>
        <w:t>Calificación de Operación</w:t>
      </w:r>
      <w:r>
        <w:rPr>
          <w:b/>
          <w:i/>
        </w:rPr>
        <w:t xml:space="preserve"> </w:t>
      </w:r>
      <w:r>
        <w:t xml:space="preserve">deberá contemplar verificación de: </w:t>
      </w:r>
    </w:p>
    <w:p w:rsidR="00C16817" w:rsidRDefault="00307B8B">
      <w:pPr>
        <w:numPr>
          <w:ilvl w:val="0"/>
          <w:numId w:val="4"/>
        </w:numPr>
        <w:spacing w:after="0" w:line="360" w:lineRule="auto"/>
        <w:jc w:val="both"/>
      </w:pPr>
      <w:r>
        <w:t>Operaciones básicas del equipo tales como encendido, apagado, regulación de temperatura (realización de ensayos por triplicado).</w:t>
      </w:r>
    </w:p>
    <w:p w:rsidR="00C16817" w:rsidRDefault="00307B8B">
      <w:pPr>
        <w:numPr>
          <w:ilvl w:val="0"/>
          <w:numId w:val="4"/>
        </w:numPr>
        <w:spacing w:after="0" w:line="360" w:lineRule="auto"/>
        <w:jc w:val="both"/>
      </w:pPr>
      <w:r>
        <w:lastRenderedPageBreak/>
        <w:t xml:space="preserve">Verificación de operación de elementos de seguridad del equipo: alarmas y desafío de las mismas. </w:t>
      </w:r>
    </w:p>
    <w:p w:rsidR="00C16817" w:rsidRDefault="00307B8B">
      <w:pPr>
        <w:numPr>
          <w:ilvl w:val="0"/>
          <w:numId w:val="4"/>
        </w:numPr>
        <w:spacing w:after="0" w:line="360" w:lineRule="auto"/>
        <w:jc w:val="both"/>
      </w:pPr>
      <w:r>
        <w:t>Prueba de corte de suministro</w:t>
      </w:r>
      <w:r>
        <w:t xml:space="preserve"> </w:t>
      </w:r>
      <w:r>
        <w:rPr>
          <w:i/>
        </w:rPr>
        <w:t>(condición 1).</w:t>
      </w:r>
      <w:r>
        <w:t xml:space="preserve">: ensayo de verificación de conexión a UPS y correcto funcionamiento del automatismo ante un corte de energía. </w:t>
      </w:r>
    </w:p>
    <w:p w:rsidR="00C16817" w:rsidRDefault="00307B8B">
      <w:pPr>
        <w:numPr>
          <w:ilvl w:val="0"/>
          <w:numId w:val="4"/>
        </w:numPr>
        <w:spacing w:after="0" w:line="360" w:lineRule="auto"/>
        <w:jc w:val="both"/>
      </w:pPr>
      <w:r>
        <w:t xml:space="preserve">Ensayo de apertura de puertas </w:t>
      </w:r>
      <w:r>
        <w:rPr>
          <w:i/>
        </w:rPr>
        <w:t>(condición 1).</w:t>
      </w:r>
    </w:p>
    <w:p w:rsidR="00C16817" w:rsidRDefault="00307B8B">
      <w:pPr>
        <w:numPr>
          <w:ilvl w:val="1"/>
          <w:numId w:val="4"/>
        </w:numPr>
        <w:spacing w:after="0" w:line="360" w:lineRule="auto"/>
        <w:jc w:val="both"/>
        <w:rPr>
          <w:i/>
        </w:rPr>
      </w:pPr>
      <w:r>
        <w:rPr>
          <w:i/>
        </w:rPr>
        <w:t>Tiempo de apertura ≥ 2 minutos</w:t>
      </w:r>
    </w:p>
    <w:p w:rsidR="00C16817" w:rsidRDefault="00307B8B">
      <w:pPr>
        <w:numPr>
          <w:ilvl w:val="1"/>
          <w:numId w:val="4"/>
        </w:numPr>
        <w:spacing w:after="0" w:line="360" w:lineRule="auto"/>
        <w:jc w:val="both"/>
        <w:rPr>
          <w:i/>
        </w:rPr>
      </w:pPr>
      <w:r>
        <w:rPr>
          <w:i/>
        </w:rPr>
        <w:t>Tiempo de recuperación ≤ 45 minutos</w:t>
      </w:r>
    </w:p>
    <w:p w:rsidR="00C16817" w:rsidRDefault="00307B8B">
      <w:pPr>
        <w:numPr>
          <w:ilvl w:val="1"/>
          <w:numId w:val="4"/>
        </w:numPr>
        <w:spacing w:after="0" w:line="360" w:lineRule="auto"/>
        <w:jc w:val="both"/>
        <w:rPr>
          <w:i/>
        </w:rPr>
      </w:pPr>
      <w:r>
        <w:rPr>
          <w:i/>
        </w:rPr>
        <w:t>Tiempo de estabilización ≤ 60 minutos</w:t>
      </w:r>
    </w:p>
    <w:p w:rsidR="00C16817" w:rsidRDefault="00307B8B">
      <w:pPr>
        <w:numPr>
          <w:ilvl w:val="0"/>
          <w:numId w:val="4"/>
        </w:numPr>
        <w:spacing w:line="360" w:lineRule="auto"/>
        <w:jc w:val="both"/>
      </w:pPr>
      <w:r>
        <w:t>Verificación de instalación, operación e integridad de sistema de control asociado al equipo.</w:t>
      </w:r>
    </w:p>
    <w:p w:rsidR="00C16817" w:rsidRDefault="00307B8B">
      <w:pPr>
        <w:spacing w:before="240" w:after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Ensayos solicitados (PQ)</w:t>
      </w:r>
    </w:p>
    <w:p w:rsidR="00C16817" w:rsidRDefault="00307B8B">
      <w:pPr>
        <w:spacing w:before="120"/>
        <w:ind w:firstLine="567"/>
        <w:jc w:val="both"/>
        <w:rPr>
          <w:i/>
          <w:u w:val="single"/>
        </w:rPr>
      </w:pPr>
      <w:r>
        <w:rPr>
          <w:i/>
          <w:u w:val="single"/>
        </w:rPr>
        <w:t>Ensayo térmico a cámara vacía</w:t>
      </w:r>
    </w:p>
    <w:p w:rsidR="00C16817" w:rsidRDefault="00307B8B">
      <w:pPr>
        <w:widowControl w:val="0"/>
        <w:spacing w:before="120" w:after="120" w:line="360" w:lineRule="auto"/>
        <w:ind w:left="720"/>
        <w:jc w:val="both"/>
      </w:pPr>
      <w:r>
        <w:t>Evaluar los datos de temperatura y de humedad relativa, durante un pe</w:t>
      </w:r>
      <w:r>
        <w:t>ríodo mínimo de 24 horas, en condiciones “sin carga”, habiendo dejado estabilizar la cámara un tiempo prudencial.</w:t>
      </w:r>
    </w:p>
    <w:p w:rsidR="00C16817" w:rsidRDefault="00307B8B">
      <w:pPr>
        <w:widowControl w:val="0"/>
        <w:spacing w:before="120" w:after="120" w:line="360" w:lineRule="auto"/>
        <w:ind w:left="720"/>
        <w:jc w:val="both"/>
      </w:pPr>
      <w:r>
        <w:t>Verificar que durante el tiempo de evaluación se cumplan los criterios de uniformidad y de homogeneidad; en temperatura y humedad.</w:t>
      </w:r>
    </w:p>
    <w:p w:rsidR="00C16817" w:rsidRDefault="00307B8B">
      <w:pPr>
        <w:widowControl w:val="0"/>
        <w:spacing w:before="120" w:after="120" w:line="360" w:lineRule="auto"/>
        <w:ind w:left="720"/>
        <w:jc w:val="both"/>
      </w:pPr>
      <w:r>
        <w:t>Se solicita</w:t>
      </w:r>
      <w:r>
        <w:t xml:space="preserve"> al menos la colocación de 12 sensores distribuidos de forma estratégica para dar cobertura a todos los sectores de la cámara.</w:t>
      </w:r>
    </w:p>
    <w:tbl>
      <w:tblPr>
        <w:tblStyle w:val="a"/>
        <w:tblW w:w="481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</w:tblGrid>
      <w:tr w:rsidR="00C16817">
        <w:trPr>
          <w:trHeight w:val="397"/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Condiciones de seteo</w:t>
            </w:r>
          </w:p>
        </w:tc>
      </w:tr>
      <w:tr w:rsidR="00C16817">
        <w:trPr>
          <w:trHeight w:val="397"/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Condición 1</w:t>
            </w:r>
          </w:p>
        </w:tc>
      </w:tr>
      <w:tr w:rsidR="00C16817">
        <w:trPr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before="24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Temperatura: </w:t>
            </w:r>
            <w:r>
              <w:t>40ºC</w:t>
            </w:r>
          </w:p>
          <w:p w:rsidR="00C16817" w:rsidRDefault="00307B8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Humedad Relativa: </w:t>
            </w:r>
            <w:r>
              <w:t>75% HR</w:t>
            </w:r>
          </w:p>
          <w:p w:rsidR="00C16817" w:rsidRDefault="00307B8B">
            <w:pPr>
              <w:jc w:val="center"/>
              <w:rPr>
                <w:i/>
              </w:rPr>
            </w:pPr>
            <w:r>
              <w:rPr>
                <w:i/>
              </w:rPr>
              <w:t>Criterio de Uniformidad:</w:t>
            </w:r>
          </w:p>
          <w:p w:rsidR="00C16817" w:rsidRDefault="00307B8B">
            <w:pPr>
              <w:widowControl w:val="0"/>
              <w:spacing w:line="276" w:lineRule="auto"/>
              <w:jc w:val="center"/>
            </w:pPr>
            <w:r>
              <w:t>Temperatura: +/- 1ºC</w:t>
            </w:r>
          </w:p>
          <w:p w:rsidR="00C16817" w:rsidRDefault="00307B8B">
            <w:pPr>
              <w:widowControl w:val="0"/>
              <w:spacing w:line="276" w:lineRule="auto"/>
              <w:jc w:val="center"/>
            </w:pPr>
            <w:r>
              <w:t>Humedad: +/-5% HR</w:t>
            </w:r>
          </w:p>
          <w:p w:rsidR="00C16817" w:rsidRDefault="00307B8B">
            <w:pPr>
              <w:jc w:val="center"/>
              <w:rPr>
                <w:i/>
              </w:rPr>
            </w:pPr>
            <w:r>
              <w:rPr>
                <w:i/>
              </w:rPr>
              <w:t>Criterio de Homogeneidad:</w:t>
            </w:r>
          </w:p>
          <w:p w:rsidR="00C16817" w:rsidRDefault="00307B8B">
            <w:pPr>
              <w:widowControl w:val="0"/>
              <w:spacing w:line="276" w:lineRule="auto"/>
              <w:jc w:val="center"/>
            </w:pPr>
            <w:r>
              <w:t>Temperatura: +/-2ºC</w:t>
            </w:r>
          </w:p>
          <w:p w:rsidR="00C16817" w:rsidRDefault="00307B8B">
            <w:pPr>
              <w:widowControl w:val="0"/>
              <w:spacing w:after="240" w:line="276" w:lineRule="auto"/>
              <w:jc w:val="center"/>
            </w:pPr>
            <w:r>
              <w:t>Humedad: +/-5% HR</w:t>
            </w:r>
          </w:p>
        </w:tc>
      </w:tr>
    </w:tbl>
    <w:p w:rsidR="00C16817" w:rsidRDefault="00C16817">
      <w:pPr>
        <w:spacing w:before="120"/>
        <w:jc w:val="both"/>
        <w:rPr>
          <w:i/>
          <w:u w:val="single"/>
        </w:rPr>
      </w:pPr>
    </w:p>
    <w:p w:rsidR="00C16817" w:rsidRDefault="00307B8B">
      <w:pPr>
        <w:spacing w:before="120"/>
        <w:ind w:firstLine="708"/>
        <w:jc w:val="both"/>
        <w:rPr>
          <w:i/>
          <w:u w:val="single"/>
        </w:rPr>
      </w:pPr>
      <w:r>
        <w:rPr>
          <w:i/>
          <w:u w:val="single"/>
        </w:rPr>
        <w:lastRenderedPageBreak/>
        <w:t>Ensayo térmico con carga habitual</w:t>
      </w:r>
    </w:p>
    <w:p w:rsidR="00C16817" w:rsidRDefault="00307B8B">
      <w:pPr>
        <w:widowControl w:val="0"/>
        <w:spacing w:before="120" w:after="120" w:line="360" w:lineRule="auto"/>
        <w:ind w:firstLine="709"/>
        <w:jc w:val="both"/>
      </w:pPr>
      <w:r>
        <w:t>Evaluar los datos de temperatura y de humedad relativa, durante un período mínimo de 24 horas, en condiciones “de carga máxima habitual”, habiendo dejado estabilizar la cámara un tiempo prudencial.</w:t>
      </w:r>
    </w:p>
    <w:p w:rsidR="00C16817" w:rsidRDefault="00307B8B">
      <w:pPr>
        <w:widowControl w:val="0"/>
        <w:spacing w:before="120" w:after="120" w:line="360" w:lineRule="auto"/>
        <w:ind w:firstLine="709"/>
        <w:jc w:val="both"/>
      </w:pPr>
      <w:r>
        <w:t>Verificar que durante el tiempo de evaluación se cumplan l</w:t>
      </w:r>
      <w:r>
        <w:t xml:space="preserve">os criterios de uniformidad y de homogeneidad; en temperatura y humedad. </w:t>
      </w:r>
    </w:p>
    <w:p w:rsidR="00C16817" w:rsidRDefault="00307B8B">
      <w:pPr>
        <w:widowControl w:val="0"/>
        <w:spacing w:before="120" w:after="120" w:line="360" w:lineRule="auto"/>
        <w:ind w:firstLine="709"/>
        <w:jc w:val="both"/>
      </w:pPr>
      <w:r>
        <w:t>Se solicita al menos la colocación de 12 sensores distribuidos de forma estratégica para dar cobertura a todos los sectores de la cámara.</w:t>
      </w:r>
    </w:p>
    <w:tbl>
      <w:tblPr>
        <w:tblStyle w:val="a0"/>
        <w:tblW w:w="481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</w:tblGrid>
      <w:tr w:rsidR="00C16817">
        <w:trPr>
          <w:trHeight w:val="397"/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Condiciones de seteo</w:t>
            </w:r>
          </w:p>
        </w:tc>
      </w:tr>
      <w:tr w:rsidR="00C16817">
        <w:trPr>
          <w:trHeight w:val="397"/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Condición 1</w:t>
            </w:r>
          </w:p>
        </w:tc>
      </w:tr>
      <w:tr w:rsidR="00C16817">
        <w:trPr>
          <w:jc w:val="center"/>
        </w:trPr>
        <w:tc>
          <w:tcPr>
            <w:tcW w:w="4814" w:type="dxa"/>
            <w:vAlign w:val="center"/>
          </w:tcPr>
          <w:p w:rsidR="00C16817" w:rsidRDefault="00307B8B">
            <w:pPr>
              <w:widowControl w:val="0"/>
              <w:spacing w:before="240" w:line="276" w:lineRule="auto"/>
              <w:jc w:val="center"/>
              <w:rPr>
                <w:b/>
              </w:rPr>
            </w:pPr>
            <w:r>
              <w:rPr>
                <w:b/>
              </w:rPr>
              <w:t>Temperatu</w:t>
            </w:r>
            <w:r>
              <w:rPr>
                <w:b/>
              </w:rPr>
              <w:t xml:space="preserve">ra: </w:t>
            </w:r>
            <w:r>
              <w:t>40ºC</w:t>
            </w:r>
          </w:p>
          <w:p w:rsidR="00C16817" w:rsidRDefault="00307B8B">
            <w:pPr>
              <w:widowControl w:val="0"/>
              <w:spacing w:after="24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Humedad Relativa: </w:t>
            </w:r>
            <w:r>
              <w:t>75% HR</w:t>
            </w:r>
          </w:p>
          <w:p w:rsidR="00C16817" w:rsidRDefault="00307B8B">
            <w:pPr>
              <w:jc w:val="center"/>
              <w:rPr>
                <w:i/>
              </w:rPr>
            </w:pPr>
            <w:r>
              <w:rPr>
                <w:i/>
              </w:rPr>
              <w:t>Criterio de Uniformidad:</w:t>
            </w:r>
          </w:p>
          <w:p w:rsidR="00C16817" w:rsidRDefault="00307B8B">
            <w:pPr>
              <w:widowControl w:val="0"/>
              <w:spacing w:line="276" w:lineRule="auto"/>
              <w:jc w:val="center"/>
            </w:pPr>
            <w:r>
              <w:t>Temperatura: +/- 1ºC</w:t>
            </w:r>
          </w:p>
          <w:p w:rsidR="00C16817" w:rsidRDefault="00307B8B">
            <w:pPr>
              <w:widowControl w:val="0"/>
              <w:spacing w:after="240" w:line="276" w:lineRule="auto"/>
              <w:jc w:val="center"/>
            </w:pPr>
            <w:r>
              <w:t>Humedad: +/-5% HR</w:t>
            </w:r>
          </w:p>
          <w:p w:rsidR="00C16817" w:rsidRDefault="00307B8B">
            <w:pPr>
              <w:jc w:val="center"/>
              <w:rPr>
                <w:i/>
              </w:rPr>
            </w:pPr>
            <w:r>
              <w:rPr>
                <w:i/>
              </w:rPr>
              <w:t>Criterio de Homogeneidad:</w:t>
            </w:r>
          </w:p>
          <w:p w:rsidR="00C16817" w:rsidRDefault="00307B8B">
            <w:pPr>
              <w:widowControl w:val="0"/>
              <w:spacing w:line="276" w:lineRule="auto"/>
              <w:jc w:val="center"/>
            </w:pPr>
            <w:r>
              <w:t>Temperatura: +/-2ºC</w:t>
            </w:r>
          </w:p>
          <w:p w:rsidR="00C16817" w:rsidRDefault="00307B8B">
            <w:pPr>
              <w:widowControl w:val="0"/>
              <w:spacing w:after="240" w:line="276" w:lineRule="auto"/>
              <w:jc w:val="center"/>
            </w:pPr>
            <w:r>
              <w:t>Humedad: +/-5% HR</w:t>
            </w:r>
          </w:p>
        </w:tc>
      </w:tr>
    </w:tbl>
    <w:p w:rsidR="00C16817" w:rsidRDefault="00C16817">
      <w:pPr>
        <w:widowControl w:val="0"/>
        <w:spacing w:before="120" w:after="120" w:line="360" w:lineRule="auto"/>
        <w:jc w:val="both"/>
      </w:pPr>
    </w:p>
    <w:p w:rsidR="00C16817" w:rsidRDefault="00307B8B">
      <w:pPr>
        <w:widowControl w:val="0"/>
        <w:numPr>
          <w:ilvl w:val="0"/>
          <w:numId w:val="3"/>
        </w:numPr>
        <w:spacing w:after="240" w:line="240" w:lineRule="auto"/>
        <w:ind w:right="-45"/>
        <w:jc w:val="both"/>
        <w:rPr>
          <w:b/>
        </w:rPr>
      </w:pPr>
      <w:r>
        <w:rPr>
          <w:b/>
        </w:rPr>
        <w:t>REPORTE FINAL DE CALIFICACIÓN</w:t>
      </w:r>
    </w:p>
    <w:p w:rsidR="00C16817" w:rsidRDefault="00307B8B">
      <w:pPr>
        <w:spacing w:before="240" w:after="240" w:line="360" w:lineRule="auto"/>
        <w:ind w:right="240" w:firstLine="708"/>
        <w:jc w:val="both"/>
        <w:rPr>
          <w:highlight w:val="white"/>
        </w:rPr>
      </w:pPr>
      <w:r>
        <w:rPr>
          <w:highlight w:val="white"/>
        </w:rPr>
        <w:t>Se deberá emitir un reporte final de la calificación con un resumen de todos los ensayos realizados y los resultados obtenidos, adjuntando la documentación soporte de todos los ensayos realizados (planillas de verificación de ensayos, registros crudos obte</w:t>
      </w:r>
      <w:r>
        <w:rPr>
          <w:highlight w:val="white"/>
        </w:rPr>
        <w:t>nidos de sensores de temperatura y humedad, gráficas de distribución de T (ºC) y H (%HR)).</w:t>
      </w:r>
    </w:p>
    <w:p w:rsidR="00C16817" w:rsidRDefault="00307B8B">
      <w:pPr>
        <w:spacing w:before="240" w:after="600" w:line="360" w:lineRule="auto"/>
        <w:ind w:right="240" w:firstLine="708"/>
        <w:jc w:val="both"/>
      </w:pPr>
      <w:r>
        <w:rPr>
          <w:rFonts w:ascii="Arial" w:eastAsia="Arial" w:hAnsi="Arial" w:cs="Arial"/>
          <w:highlight w:val="white"/>
        </w:rPr>
        <w:t xml:space="preserve">En el </w:t>
      </w:r>
      <w:r>
        <w:rPr>
          <w:rFonts w:ascii="Arial" w:eastAsia="Arial" w:hAnsi="Arial" w:cs="Arial"/>
          <w:i/>
          <w:highlight w:val="white"/>
        </w:rPr>
        <w:t>Anexo A – Requerimientos para Calificación</w:t>
      </w:r>
      <w:r>
        <w:rPr>
          <w:rFonts w:ascii="Arial" w:eastAsia="Arial" w:hAnsi="Arial" w:cs="Arial"/>
          <w:highlight w:val="white"/>
        </w:rPr>
        <w:t xml:space="preserve"> se encuentra detallado el contenido, forma de presentación y entrega de dicho Reporte.</w:t>
      </w:r>
    </w:p>
    <w:sectPr w:rsidR="00C16817">
      <w:headerReference w:type="default" r:id="rId9"/>
      <w:footerReference w:type="default" r:id="rId10"/>
      <w:pgSz w:w="11906" w:h="16838"/>
      <w:pgMar w:top="2410" w:right="1416" w:bottom="1843" w:left="1418" w:header="142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07B8B">
      <w:pPr>
        <w:spacing w:after="0" w:line="240" w:lineRule="auto"/>
      </w:pPr>
      <w:r>
        <w:separator/>
      </w:r>
    </w:p>
  </w:endnote>
  <w:endnote w:type="continuationSeparator" w:id="0">
    <w:p w:rsidR="00000000" w:rsidRDefault="0030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817" w:rsidRDefault="00307B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Inter" w:eastAsia="Inter" w:hAnsi="Inter" w:cs="Inter"/>
        <w:b/>
        <w:i/>
        <w:color w:val="000000"/>
        <w:sz w:val="20"/>
        <w:szCs w:val="20"/>
      </w:rPr>
    </w:pPr>
    <w:r>
      <w:rPr>
        <w:rFonts w:ascii="Inter" w:eastAsia="Inter" w:hAnsi="Inter" w:cs="Inter"/>
        <w:b/>
        <w:i/>
        <w:color w:val="000000"/>
        <w:sz w:val="20"/>
        <w:szCs w:val="20"/>
      </w:rPr>
      <w:t>“AÑO 2025 - 210 años del Congreso de los Pueblos Libres”</w:t>
    </w:r>
  </w:p>
  <w:p w:rsidR="00C16817" w:rsidRDefault="00C1681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Inter" w:eastAsia="Inter" w:hAnsi="Inter" w:cs="Inter"/>
        <w:b/>
        <w:i/>
        <w:color w:val="000000"/>
      </w:rPr>
    </w:pPr>
  </w:p>
  <w:p w:rsidR="00C16817" w:rsidRDefault="00307B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  <w:lang w:val="es-AR"/>
      </w:rPr>
      <w:drawing>
        <wp:inline distT="0" distB="0" distL="0" distR="0">
          <wp:extent cx="5760720" cy="563880"/>
          <wp:effectExtent l="0" t="0" r="0" b="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07B8B">
      <w:pPr>
        <w:spacing w:after="0" w:line="240" w:lineRule="auto"/>
      </w:pPr>
      <w:r>
        <w:separator/>
      </w:r>
    </w:p>
  </w:footnote>
  <w:footnote w:type="continuationSeparator" w:id="0">
    <w:p w:rsidR="00000000" w:rsidRDefault="00307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817" w:rsidRDefault="00307B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AR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-899158</wp:posOffset>
          </wp:positionH>
          <wp:positionV relativeFrom="paragraph">
            <wp:posOffset>-90168</wp:posOffset>
          </wp:positionV>
          <wp:extent cx="7610475" cy="1333818"/>
          <wp:effectExtent l="0" t="0" r="0" b="0"/>
          <wp:wrapNone/>
          <wp:docPr id="9" name="image2.jpg" descr="a4__MEMBRETE_MI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4__MEMBRETE_MI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0475" cy="13338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11"/>
    <w:multiLevelType w:val="multilevel"/>
    <w:tmpl w:val="351E4C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0B866C8"/>
    <w:multiLevelType w:val="multilevel"/>
    <w:tmpl w:val="9D8C74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2D97450"/>
    <w:multiLevelType w:val="multilevel"/>
    <w:tmpl w:val="074422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2535" w:hanging="550"/>
      </w:pPr>
      <w:rPr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u w:val="none"/>
      </w:rPr>
    </w:lvl>
  </w:abstractNum>
  <w:abstractNum w:abstractNumId="3">
    <w:nsid w:val="4EC40008"/>
    <w:multiLevelType w:val="multilevel"/>
    <w:tmpl w:val="C68699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16817"/>
    <w:rsid w:val="00307B8B"/>
    <w:rsid w:val="00C1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A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05D5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D5"/>
    <w:rPr>
      <w:rFonts w:ascii="Calibri" w:eastAsia="Calibri" w:hAnsi="Calibri" w:cs="Times New Roman"/>
      <w:lang w:val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A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05D5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D5"/>
    <w:rPr>
      <w:rFonts w:ascii="Calibri" w:eastAsia="Calibri" w:hAnsi="Calibri" w:cs="Times New Roman"/>
      <w:lang w:val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C+xmgV4W1T7/YL6dlyH3dTyu9Q==">CgMxLjA4AHIhMUZEa3c5bk9TX0xUWVdlQU5TcG1leHZmclJRX0hPT2lF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Lisandro</dc:creator>
  <cp:lastModifiedBy>I-MAG</cp:lastModifiedBy>
  <cp:revision>2</cp:revision>
  <dcterms:created xsi:type="dcterms:W3CDTF">2025-10-02T13:52:00Z</dcterms:created>
  <dcterms:modified xsi:type="dcterms:W3CDTF">2025-10-02T13:52:00Z</dcterms:modified>
</cp:coreProperties>
</file>